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686E" w14:textId="7BEBE7ED" w:rsidR="00473D32" w:rsidRPr="00DC0ABE" w:rsidRDefault="009C4080" w:rsidP="00D8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BE">
        <w:rPr>
          <w:rFonts w:ascii="Times New Roman" w:hAnsi="Times New Roman" w:cs="Times New Roman"/>
          <w:b/>
          <w:sz w:val="24"/>
          <w:szCs w:val="24"/>
        </w:rPr>
        <w:t>Tudnivalók</w:t>
      </w:r>
      <w:r w:rsidR="002268A1" w:rsidRPr="00DC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ABE">
        <w:rPr>
          <w:rFonts w:ascii="Times New Roman" w:hAnsi="Times New Roman" w:cs="Times New Roman"/>
          <w:b/>
          <w:sz w:val="24"/>
          <w:szCs w:val="24"/>
        </w:rPr>
        <w:t xml:space="preserve">és bírálati szempontok </w:t>
      </w:r>
      <w:r w:rsidR="005443C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270AD">
        <w:rPr>
          <w:rFonts w:ascii="Times New Roman" w:hAnsi="Times New Roman" w:cs="Times New Roman"/>
          <w:b/>
          <w:sz w:val="24"/>
          <w:szCs w:val="24"/>
        </w:rPr>
        <w:t>2020-as</w:t>
      </w:r>
      <w:r w:rsidR="002268A1" w:rsidRPr="00DC0ABE">
        <w:rPr>
          <w:rFonts w:ascii="Times New Roman" w:hAnsi="Times New Roman" w:cs="Times New Roman"/>
          <w:b/>
          <w:sz w:val="24"/>
          <w:szCs w:val="24"/>
        </w:rPr>
        <w:t xml:space="preserve"> Nemzetközi Kreditmo</w:t>
      </w:r>
      <w:r w:rsidRPr="00DC0ABE">
        <w:rPr>
          <w:rFonts w:ascii="Times New Roman" w:hAnsi="Times New Roman" w:cs="Times New Roman"/>
          <w:b/>
          <w:sz w:val="24"/>
          <w:szCs w:val="24"/>
        </w:rPr>
        <w:t>bilitási Pályázathoz szükséges szakmai részanyagokkal kapcsolatban</w:t>
      </w:r>
      <w:r w:rsidR="00D80037" w:rsidRPr="00DC0ABE">
        <w:rPr>
          <w:rFonts w:ascii="Times New Roman" w:hAnsi="Times New Roman" w:cs="Times New Roman"/>
          <w:b/>
          <w:sz w:val="24"/>
          <w:szCs w:val="24"/>
        </w:rPr>
        <w:t xml:space="preserve"> Eötvös Loránd Tudományegyetem</w:t>
      </w:r>
    </w:p>
    <w:p w14:paraId="34731329" w14:textId="77777777" w:rsidR="00A627C0" w:rsidRPr="00DC0ABE" w:rsidRDefault="00A627C0" w:rsidP="00D8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2E582" w14:textId="77777777" w:rsidR="007B319E" w:rsidRPr="00DC0ABE" w:rsidRDefault="007B319E" w:rsidP="00D8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B8F5C" w14:textId="242D7406" w:rsidR="004B5B97" w:rsidRPr="00DC0ABE" w:rsidRDefault="005443C3" w:rsidP="00D800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270AD">
        <w:rPr>
          <w:rFonts w:ascii="Times New Roman" w:hAnsi="Times New Roman" w:cs="Times New Roman"/>
          <w:sz w:val="24"/>
          <w:szCs w:val="24"/>
        </w:rPr>
        <w:t>2020</w:t>
      </w:r>
      <w:r w:rsidR="009C4080" w:rsidRPr="00DC0ABE">
        <w:rPr>
          <w:rFonts w:ascii="Times New Roman" w:hAnsi="Times New Roman" w:cs="Times New Roman"/>
          <w:sz w:val="24"/>
          <w:szCs w:val="24"/>
        </w:rPr>
        <w:t>. évi</w:t>
      </w:r>
      <w:r w:rsidR="004B5B97" w:rsidRPr="00DC0ABE">
        <w:rPr>
          <w:rFonts w:ascii="Times New Roman" w:hAnsi="Times New Roman" w:cs="Times New Roman"/>
          <w:sz w:val="24"/>
          <w:szCs w:val="24"/>
        </w:rPr>
        <w:t xml:space="preserve"> Nemzetközi Kreditmobilitási Pályázat során</w:t>
      </w:r>
      <w:r w:rsidR="009C4080" w:rsidRPr="00DC0ABE">
        <w:rPr>
          <w:rFonts w:ascii="Times New Roman" w:hAnsi="Times New Roman" w:cs="Times New Roman"/>
          <w:sz w:val="24"/>
          <w:szCs w:val="24"/>
        </w:rPr>
        <w:t xml:space="preserve"> az ELTE célja</w:t>
      </w:r>
      <w:r w:rsidR="004B5B97" w:rsidRPr="00DC0ABE">
        <w:rPr>
          <w:rFonts w:ascii="Times New Roman" w:hAnsi="Times New Roman" w:cs="Times New Roman"/>
          <w:sz w:val="24"/>
          <w:szCs w:val="24"/>
        </w:rPr>
        <w:t>, hogy a</w:t>
      </w:r>
      <w:r w:rsidR="004B5B97" w:rsidRPr="00DC0AB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B5B97" w:rsidRPr="00DC0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partnerországok (Európai Unión kívüli országok) felsőoktatási intézményeivel megvalósítandó mobilitási tevékenységekre pályázzon az Erasmus+ program keretein belül.</w:t>
      </w:r>
      <w:r w:rsidR="009C4080" w:rsidRPr="00DC0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3577BD0" w14:textId="77777777" w:rsidR="009C4080" w:rsidRPr="00DC0ABE" w:rsidRDefault="009C4080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  <w:r w:rsidRPr="00DC0ABE">
        <w:rPr>
          <w:b/>
          <w:color w:val="333333"/>
          <w:u w:val="single"/>
        </w:rPr>
        <w:t>Legfontosabb tudnivalók:</w:t>
      </w:r>
    </w:p>
    <w:p w14:paraId="6E35A7A9" w14:textId="77777777" w:rsidR="009C4080" w:rsidRPr="00DC0ABE" w:rsidRDefault="009C4080" w:rsidP="00D80037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  <w:r w:rsidRPr="00DC0ABE">
        <w:rPr>
          <w:b/>
          <w:color w:val="333333"/>
        </w:rPr>
        <w:t>A pályázók köre</w:t>
      </w:r>
    </w:p>
    <w:p w14:paraId="1B6DFB14" w14:textId="0ED020D0" w:rsidR="004B5B97" w:rsidRPr="00DC0ABE" w:rsidRDefault="004B5B97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0ABE">
        <w:rPr>
          <w:color w:val="333333"/>
        </w:rPr>
        <w:t>Az Erasmus+ nemzetközi kreditmobilitás keretében pályázható mobilitási tevékenysé</w:t>
      </w:r>
      <w:r w:rsidR="005443C3">
        <w:rPr>
          <w:color w:val="333333"/>
        </w:rPr>
        <w:t xml:space="preserve">gek a következők lehetnek a </w:t>
      </w:r>
      <w:r w:rsidR="005270AD">
        <w:rPr>
          <w:color w:val="333333"/>
        </w:rPr>
        <w:t>2020-as</w:t>
      </w:r>
      <w:r w:rsidRPr="00DC0ABE">
        <w:rPr>
          <w:color w:val="333333"/>
        </w:rPr>
        <w:t xml:space="preserve"> évben:</w:t>
      </w:r>
    </w:p>
    <w:p w14:paraId="6545EB55" w14:textId="77777777" w:rsidR="001832F1" w:rsidRDefault="004B5B97" w:rsidP="001832F1">
      <w:pPr>
        <w:pStyle w:val="NormlWeb"/>
        <w:shd w:val="clear" w:color="auto" w:fill="FFFFFF"/>
        <w:spacing w:before="0" w:beforeAutospacing="0" w:after="0" w:afterAutospacing="0"/>
        <w:ind w:left="1440"/>
        <w:rPr>
          <w:rStyle w:val="Kiemels2"/>
          <w:color w:val="333333"/>
        </w:rPr>
      </w:pPr>
      <w:r w:rsidRPr="00DC0ABE">
        <w:rPr>
          <w:color w:val="333333"/>
        </w:rPr>
        <w:t>-</w:t>
      </w:r>
      <w:r w:rsidRPr="00DC0ABE">
        <w:rPr>
          <w:rStyle w:val="apple-converted-space"/>
          <w:color w:val="333333"/>
        </w:rPr>
        <w:t> </w:t>
      </w:r>
      <w:r w:rsidRPr="00DC0ABE">
        <w:rPr>
          <w:rStyle w:val="Kiemels2"/>
          <w:color w:val="333333"/>
        </w:rPr>
        <w:t>hallgatói tanulmányi mobilitás</w:t>
      </w:r>
      <w:r w:rsidR="001832F1">
        <w:rPr>
          <w:rStyle w:val="Kiemels2"/>
          <w:color w:val="333333"/>
        </w:rPr>
        <w:t xml:space="preserve"> és/vagy</w:t>
      </w:r>
      <w:r w:rsidR="00991249" w:rsidRPr="00DC0ABE">
        <w:rPr>
          <w:rStyle w:val="Kiemels2"/>
          <w:color w:val="333333"/>
        </w:rPr>
        <w:t xml:space="preserve"> </w:t>
      </w:r>
      <w:r w:rsidR="001832F1">
        <w:rPr>
          <w:rStyle w:val="Kiemels2"/>
          <w:color w:val="333333"/>
        </w:rPr>
        <w:t xml:space="preserve">szakmai gyakorlat </w:t>
      </w:r>
      <w:r w:rsidR="001832F1" w:rsidRPr="00DC0ABE">
        <w:rPr>
          <w:rStyle w:val="Kiemels2"/>
          <w:color w:val="333333"/>
        </w:rPr>
        <w:t>(ki/be)</w:t>
      </w:r>
      <w:r w:rsidR="001832F1">
        <w:rPr>
          <w:rStyle w:val="Kiemels2"/>
          <w:color w:val="333333"/>
        </w:rPr>
        <w:t xml:space="preserve">. </w:t>
      </w:r>
    </w:p>
    <w:p w14:paraId="4661F724" w14:textId="77777777" w:rsidR="001832F1" w:rsidRPr="001832F1" w:rsidRDefault="001832F1" w:rsidP="001832F1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1832F1">
        <w:rPr>
          <w:rStyle w:val="Kiemels2"/>
          <w:b w:val="0"/>
          <w:color w:val="333333"/>
        </w:rPr>
        <w:t>Szakmai gyakorlat</w:t>
      </w:r>
      <w:r>
        <w:rPr>
          <w:rStyle w:val="Kiemels2"/>
          <w:b w:val="0"/>
          <w:color w:val="333333"/>
        </w:rPr>
        <w:t>i terveket kérjük külön jelezni a pályázati űrlap beküldésekor e-mailben.</w:t>
      </w:r>
    </w:p>
    <w:p w14:paraId="3753030F" w14:textId="77777777" w:rsidR="004B5B97" w:rsidRPr="001832F1" w:rsidRDefault="004B5B97" w:rsidP="001832F1">
      <w:pPr>
        <w:pStyle w:val="NormlWeb"/>
        <w:shd w:val="clear" w:color="auto" w:fill="FFFFFF"/>
        <w:spacing w:before="0" w:beforeAutospacing="0" w:after="0" w:afterAutospacing="0"/>
        <w:ind w:left="708" w:firstLine="708"/>
        <w:rPr>
          <w:b/>
          <w:bCs/>
          <w:color w:val="333333"/>
        </w:rPr>
      </w:pPr>
      <w:r w:rsidRPr="00DC0ABE">
        <w:rPr>
          <w:color w:val="333333"/>
        </w:rPr>
        <w:t>-</w:t>
      </w:r>
      <w:r w:rsidRPr="00DC0ABE">
        <w:rPr>
          <w:rStyle w:val="apple-converted-space"/>
          <w:color w:val="333333"/>
        </w:rPr>
        <w:t> </w:t>
      </w:r>
      <w:r w:rsidR="00E14661" w:rsidRPr="00DC0ABE">
        <w:rPr>
          <w:rStyle w:val="Kiemels2"/>
          <w:color w:val="333333"/>
        </w:rPr>
        <w:t>oktatói</w:t>
      </w:r>
      <w:r w:rsidRPr="00DC0ABE">
        <w:rPr>
          <w:rStyle w:val="Kiemels2"/>
          <w:color w:val="333333"/>
        </w:rPr>
        <w:t xml:space="preserve"> mobilitás</w:t>
      </w:r>
      <w:r w:rsidRPr="00DC0ABE">
        <w:rPr>
          <w:rStyle w:val="apple-converted-space"/>
          <w:color w:val="333333"/>
        </w:rPr>
        <w:t> </w:t>
      </w:r>
      <w:r w:rsidR="00991249" w:rsidRPr="00DC0ABE">
        <w:rPr>
          <w:rStyle w:val="apple-converted-space"/>
          <w:b/>
          <w:color w:val="333333"/>
        </w:rPr>
        <w:t>(ki/be)</w:t>
      </w:r>
    </w:p>
    <w:p w14:paraId="06A92E45" w14:textId="77777777" w:rsidR="00EB7B88" w:rsidRPr="00DC0ABE" w:rsidRDefault="00EB7B88" w:rsidP="00D80037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C0ABE">
        <w:rPr>
          <w:b/>
          <w:color w:val="333333"/>
        </w:rPr>
        <w:t>A forráskeret</w:t>
      </w:r>
    </w:p>
    <w:p w14:paraId="2360BC0C" w14:textId="606436A3" w:rsidR="00EB7B88" w:rsidRDefault="003228D7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0ABE">
        <w:rPr>
          <w:color w:val="333333"/>
        </w:rPr>
        <w:t xml:space="preserve">Magyarország számára a </w:t>
      </w:r>
      <w:r w:rsidR="005270AD" w:rsidRPr="00DC0ABE">
        <w:rPr>
          <w:color w:val="333333"/>
        </w:rPr>
        <w:t>20</w:t>
      </w:r>
      <w:r w:rsidR="005270AD">
        <w:rPr>
          <w:color w:val="333333"/>
        </w:rPr>
        <w:t>19</w:t>
      </w:r>
      <w:r w:rsidRPr="00DC0ABE">
        <w:rPr>
          <w:color w:val="333333"/>
        </w:rPr>
        <w:t xml:space="preserve">. évben rendelkezésre álló éves Erasmus + nemzetközi kreditmobilitási költségvetés </w:t>
      </w:r>
      <w:r w:rsidR="00FB6748">
        <w:rPr>
          <w:color w:val="333333"/>
        </w:rPr>
        <w:t>3 847 383</w:t>
      </w:r>
      <w:r w:rsidRPr="00DC0ABE">
        <w:rPr>
          <w:color w:val="333333"/>
        </w:rPr>
        <w:t xml:space="preserve"> Euró volt, mely összeg a lenti táblázatban foglaltak szerint oszlott meg az egyes földrajzi területek között. </w:t>
      </w:r>
      <w:r w:rsidR="00EB7B88" w:rsidRPr="00DC0ABE">
        <w:rPr>
          <w:color w:val="333333"/>
        </w:rPr>
        <w:t>Ez várhatóan hasonlóképpen alakul a 20</w:t>
      </w:r>
      <w:r w:rsidR="00105354">
        <w:rPr>
          <w:color w:val="333333"/>
        </w:rPr>
        <w:t>20</w:t>
      </w:r>
      <w:r w:rsidR="005443C3">
        <w:rPr>
          <w:color w:val="333333"/>
        </w:rPr>
        <w:t>-</w:t>
      </w:r>
      <w:r w:rsidR="00105354">
        <w:rPr>
          <w:color w:val="333333"/>
        </w:rPr>
        <w:t>a</w:t>
      </w:r>
      <w:r w:rsidR="00EB7B88" w:rsidRPr="00DC0ABE">
        <w:rPr>
          <w:color w:val="333333"/>
        </w:rPr>
        <w:t>s pályázat során is, így érdemes alaposan áttanulmányozni</w:t>
      </w:r>
      <w:r w:rsidR="00644384" w:rsidRPr="00DC0ABE">
        <w:rPr>
          <w:color w:val="333333"/>
        </w:rPr>
        <w:t xml:space="preserve"> az összegeket</w:t>
      </w:r>
      <w:r w:rsidR="00EB7B88" w:rsidRPr="00DC0ABE">
        <w:rPr>
          <w:color w:val="333333"/>
        </w:rPr>
        <w:t xml:space="preserve"> és ez alapján számolni a </w:t>
      </w:r>
      <w:r w:rsidR="009C4080" w:rsidRPr="00DC0ABE">
        <w:rPr>
          <w:color w:val="333333"/>
        </w:rPr>
        <w:t>megpályázni kívánt mobilitási helyeket</w:t>
      </w:r>
      <w:r w:rsidR="00EB7B88" w:rsidRPr="00DC0ABE">
        <w:rPr>
          <w:color w:val="333333"/>
        </w:rPr>
        <w:t>. (</w:t>
      </w:r>
      <w:r w:rsidR="00644384" w:rsidRPr="00DC0ABE">
        <w:rPr>
          <w:color w:val="333333"/>
        </w:rPr>
        <w:t>Fontos</w:t>
      </w:r>
      <w:r w:rsidR="009C4080" w:rsidRPr="00DC0ABE">
        <w:rPr>
          <w:color w:val="333333"/>
        </w:rPr>
        <w:t xml:space="preserve"> látni</w:t>
      </w:r>
      <w:r w:rsidR="00644384" w:rsidRPr="00DC0ABE">
        <w:rPr>
          <w:color w:val="333333"/>
        </w:rPr>
        <w:t>, hogy a</w:t>
      </w:r>
      <w:r w:rsidR="00EB7B88" w:rsidRPr="00DC0ABE">
        <w:rPr>
          <w:color w:val="333333"/>
        </w:rPr>
        <w:t>z ELTE csak 1 db intézmény Magyarországon belül,</w:t>
      </w:r>
      <w:r w:rsidR="009C4080" w:rsidRPr="00DC0ABE">
        <w:rPr>
          <w:color w:val="333333"/>
        </w:rPr>
        <w:t xml:space="preserve"> így a feltüntetett összegeken számos más</w:t>
      </w:r>
      <w:r w:rsidR="00561F27" w:rsidRPr="00DC0ABE">
        <w:rPr>
          <w:color w:val="333333"/>
        </w:rPr>
        <w:t xml:space="preserve"> pályázóval kell osztozni</w:t>
      </w:r>
      <w:r w:rsidR="009C4080" w:rsidRPr="00DC0ABE">
        <w:rPr>
          <w:color w:val="333333"/>
        </w:rPr>
        <w:t>,</w:t>
      </w:r>
      <w:r w:rsidR="00EB7B88" w:rsidRPr="00DC0ABE">
        <w:rPr>
          <w:color w:val="333333"/>
        </w:rPr>
        <w:t xml:space="preserve"> a keret pedig egyes országok esetében kifejezetten alacsony </w:t>
      </w:r>
      <w:r w:rsidR="003234FE" w:rsidRPr="00DC0ABE">
        <w:rPr>
          <w:color w:val="333333"/>
        </w:rPr>
        <w:t>–</w:t>
      </w:r>
      <w:r w:rsidR="00EB7B88" w:rsidRPr="00DC0ABE">
        <w:rPr>
          <w:color w:val="333333"/>
        </w:rPr>
        <w:t xml:space="preserve"> </w:t>
      </w:r>
      <w:r w:rsidR="003234FE" w:rsidRPr="00DC0ABE">
        <w:rPr>
          <w:color w:val="333333"/>
        </w:rPr>
        <w:t xml:space="preserve">például </w:t>
      </w:r>
      <w:r w:rsidR="009C4080" w:rsidRPr="00DC0ABE">
        <w:rPr>
          <w:color w:val="333333"/>
        </w:rPr>
        <w:t xml:space="preserve">Kína sem rendelkezik külön </w:t>
      </w:r>
      <w:r w:rsidR="00DC0ABE" w:rsidRPr="00DC0ABE">
        <w:rPr>
          <w:color w:val="333333"/>
        </w:rPr>
        <w:t>kerettel</w:t>
      </w:r>
      <w:r w:rsidR="009C4080" w:rsidRPr="00DC0ABE">
        <w:rPr>
          <w:color w:val="333333"/>
        </w:rPr>
        <w:t>, csak egyetlen országot jelent</w:t>
      </w:r>
      <w:r w:rsidR="003234FE" w:rsidRPr="00DC0ABE">
        <w:rPr>
          <w:color w:val="333333"/>
        </w:rPr>
        <w:t xml:space="preserve"> a „DCI </w:t>
      </w:r>
      <w:proofErr w:type="spellStart"/>
      <w:r w:rsidR="003234FE" w:rsidRPr="00DC0ABE">
        <w:rPr>
          <w:color w:val="333333"/>
        </w:rPr>
        <w:t>Asia</w:t>
      </w:r>
      <w:proofErr w:type="spellEnd"/>
      <w:r w:rsidR="003234FE" w:rsidRPr="00DC0ABE">
        <w:rPr>
          <w:color w:val="333333"/>
        </w:rPr>
        <w:t xml:space="preserve">” </w:t>
      </w:r>
      <w:r w:rsidR="009C4080" w:rsidRPr="00DC0ABE">
        <w:rPr>
          <w:color w:val="333333"/>
        </w:rPr>
        <w:t xml:space="preserve">kategórián </w:t>
      </w:r>
      <w:r w:rsidR="00561F27" w:rsidRPr="00DC0ABE">
        <w:rPr>
          <w:color w:val="333333"/>
        </w:rPr>
        <w:t>belül, melyre összesen</w:t>
      </w:r>
      <w:r w:rsidR="009C4080" w:rsidRPr="00DC0ABE">
        <w:rPr>
          <w:color w:val="333333"/>
        </w:rPr>
        <w:t xml:space="preserve"> csak a teljes keret</w:t>
      </w:r>
      <w:r w:rsidR="00046F80">
        <w:rPr>
          <w:color w:val="333333"/>
        </w:rPr>
        <w:t xml:space="preserve"> 1</w:t>
      </w:r>
      <w:r w:rsidR="0090115B">
        <w:rPr>
          <w:color w:val="333333"/>
        </w:rPr>
        <w:t>0,8</w:t>
      </w:r>
      <w:r w:rsidR="003234FE" w:rsidRPr="00DC0ABE">
        <w:rPr>
          <w:color w:val="333333"/>
        </w:rPr>
        <w:t xml:space="preserve"> %-a</w:t>
      </w:r>
      <w:r w:rsidR="009C4080" w:rsidRPr="00DC0ABE">
        <w:rPr>
          <w:color w:val="333333"/>
        </w:rPr>
        <w:t xml:space="preserve"> jutott legutóbb is</w:t>
      </w:r>
      <w:r w:rsidR="003234FE" w:rsidRPr="00DC0ABE">
        <w:rPr>
          <w:color w:val="333333"/>
        </w:rPr>
        <w:t>)</w:t>
      </w:r>
    </w:p>
    <w:p w14:paraId="511AEDED" w14:textId="77777777" w:rsidR="00F54C76" w:rsidRPr="00DC0ABE" w:rsidRDefault="00F54C76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5363"/>
        <w:gridCol w:w="1269"/>
        <w:gridCol w:w="1215"/>
      </w:tblGrid>
      <w:tr w:rsidR="00F54C76" w:rsidRPr="00DC0ABE" w14:paraId="3010BC8E" w14:textId="77777777" w:rsidTr="00F54C76">
        <w:trPr>
          <w:trHeight w:val="367"/>
        </w:trPr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268793" w14:textId="77777777" w:rsidR="00F54C76" w:rsidRPr="00DC0ABE" w:rsidRDefault="00F54C76" w:rsidP="00D8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1"/>
                <w:lang w:eastAsia="hu-HU"/>
              </w:rPr>
              <w:t>Országcsoport</w:t>
            </w:r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2BCA27" w14:textId="77777777" w:rsidR="00F54C76" w:rsidRPr="00DC0ABE" w:rsidRDefault="00F54C76" w:rsidP="00D8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1"/>
                <w:lang w:eastAsia="hu-HU"/>
              </w:rPr>
              <w:t>Országok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F6F30A" w14:textId="785371DA" w:rsidR="00F54C76" w:rsidRPr="00DC0ABE" w:rsidRDefault="00F54C76" w:rsidP="0018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proofErr w:type="gramStart"/>
            <w:r w:rsidRPr="00DC0AB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>HU</w:t>
            </w:r>
            <w:proofErr w:type="gramEnd"/>
            <w:r w:rsidRPr="00DC0AB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 xml:space="preserve"> országos keret százalékos eloszlása </w:t>
            </w:r>
            <w:r w:rsidR="001823D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>2019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5CD69B4D" w14:textId="4AA83855" w:rsidR="00F54C76" w:rsidRPr="00DC0ABE" w:rsidRDefault="00F54C76" w:rsidP="00B3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>HU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 xml:space="preserve"> országos mobilitások a keret függvényében </w:t>
            </w:r>
            <w:r w:rsidR="00B35695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21"/>
                <w:lang w:eastAsia="hu-HU"/>
              </w:rPr>
              <w:t>2019</w:t>
            </w:r>
          </w:p>
        </w:tc>
      </w:tr>
      <w:tr w:rsidR="00F54C76" w:rsidRPr="00DC0ABE" w14:paraId="3D703968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1E566D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ENI South-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Mediterranean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E647F9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Algéria, Egyiptom, Izrael, Jordánia, Libanon, Líbia, Marokkó, Palesztina, Szíria, Tunézia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63F406" w14:textId="328602F3" w:rsidR="00F54C76" w:rsidRPr="00DC0ABE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20%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3595587B" w14:textId="5A2BF799" w:rsid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214</w:t>
            </w:r>
          </w:p>
        </w:tc>
      </w:tr>
      <w:tr w:rsidR="00F54C76" w:rsidRPr="00DC0ABE" w14:paraId="0120E6AA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5712A4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ENI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Eastern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Partnership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72D879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Örményország, Azerbajdzsán, Fehéroroszország, Grúzia, Moldova, Ukrajna területe a nemzetközi jog szerint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E76AF4" w14:textId="516F3BF1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15%</w:t>
            </w:r>
          </w:p>
          <w:p w14:paraId="60FEFA0A" w14:textId="77777777" w:rsidR="00F54C76" w:rsidRPr="00F54C76" w:rsidRDefault="00F54C76" w:rsidP="00F5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30CB44F3" w14:textId="335B608C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183</w:t>
            </w:r>
          </w:p>
        </w:tc>
      </w:tr>
      <w:tr w:rsidR="00F54C76" w:rsidRPr="00DC0ABE" w14:paraId="647E14D9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3DA6B4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ENI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Russia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Federation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3121E7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Oroszország területe a nemzetközi jog szerint</w:t>
            </w: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br/>
              <w:t xml:space="preserve">*Oroszország számára az ENI és PI eszköz keretén belül is rendelkezésre áll bizonyos összeg. A könnyebb érthetőség kedvéért a teljes összeg az ENI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Russian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Federation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regióban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van feltűntetve.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EE9069" w14:textId="5393A616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9%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2C26B86E" w14:textId="625781EA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95</w:t>
            </w:r>
          </w:p>
        </w:tc>
      </w:tr>
      <w:tr w:rsidR="00F54C76" w:rsidRPr="00DC0ABE" w14:paraId="111FE019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F2AE36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DCI Latin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America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121E3E" w14:textId="4291C7BB" w:rsidR="00F54C76" w:rsidRPr="00DC0ABE" w:rsidRDefault="00F54C76" w:rsidP="003E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Argentína, Bolívia,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Brazíla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, Columbia, Costa Rica, Kuba, Ecuador, El Salvador, Guatemala, Honduras, Mexikó, Nicaragua, Panama, Paraguay, Peru, </w:t>
            </w:r>
            <w:bookmarkStart w:id="0" w:name="_GoBack"/>
            <w:bookmarkEnd w:id="0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Venezuela 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1EF515" w14:textId="521FEBBD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28AD0830" w14:textId="2DA3838F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54</w:t>
            </w:r>
          </w:p>
        </w:tc>
      </w:tr>
      <w:tr w:rsidR="00F54C76" w:rsidRPr="00DC0ABE" w14:paraId="299769B0" w14:textId="77777777" w:rsidTr="00F54C76">
        <w:trPr>
          <w:trHeight w:val="489"/>
        </w:trPr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E4DD93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DCI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Asia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15169B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Afganisztán, Banglades, Bhután, Kambodzsa, Kína, DPR Korea, India, Indonézia, Laosz, Malajzia, Maldív-szigetek, Mongólia, Mianmar, Nepál, Pakisztán, Fülöp-szigetek, Srí Lanka, Thaiföld, Vietnám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114015" w14:textId="74FACCE1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11%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09D41E34" w14:textId="5492BBF6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175</w:t>
            </w:r>
          </w:p>
        </w:tc>
      </w:tr>
      <w:tr w:rsidR="00F54C76" w:rsidRPr="00DC0ABE" w14:paraId="36797689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BE52A4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DCI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Central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Asia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751EEB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Kazahsztán, Kirgizisztán, Tádzsikisztán, Türkmenisztán, Üzbegisztán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2FDFD4" w14:textId="1C41BFAF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3%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5FAACCA3" w14:textId="216364F5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45</w:t>
            </w:r>
          </w:p>
        </w:tc>
      </w:tr>
      <w:tr w:rsidR="00F54C76" w:rsidRPr="00DC0ABE" w14:paraId="48214E88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C54021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DCI South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Africa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3A3470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Dél-Afrika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1FA8FAB" w14:textId="7D24D04F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64666AEF" w14:textId="08586794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23</w:t>
            </w:r>
          </w:p>
        </w:tc>
      </w:tr>
      <w:tr w:rsidR="00F54C76" w:rsidRPr="00DC0ABE" w14:paraId="5AF94819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CE8CFA" w14:textId="77777777" w:rsidR="00F54C76" w:rsidRPr="00DC0ABE" w:rsidRDefault="00F54C76" w:rsidP="002C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DCI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Middle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East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0316EE" w14:textId="77777777" w:rsidR="00F54C76" w:rsidRPr="00DC0ABE" w:rsidRDefault="00F54C76" w:rsidP="002C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Irak, Irán, Jemen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938692" w14:textId="428A5C6D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6A9E6E45" w14:textId="51089C43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14</w:t>
            </w:r>
          </w:p>
        </w:tc>
      </w:tr>
      <w:tr w:rsidR="00F54C76" w:rsidRPr="00DC0ABE" w14:paraId="313D2157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4FCAAA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IPA Western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Balkans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1E9E99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Albánia, Bosznia-Hercegovina, Koszovó, Montenegró, Szerbia 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9B707F4" w14:textId="525F87F0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16%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2DB91A92" w14:textId="35EED49C" w:rsidR="00F54C76" w:rsidRPr="00F54C76" w:rsidRDefault="00B35695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214</w:t>
            </w:r>
          </w:p>
        </w:tc>
      </w:tr>
      <w:tr w:rsidR="00F54C76" w:rsidRPr="00DC0ABE" w14:paraId="745D7DB6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34D954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lastRenderedPageBreak/>
              <w:t xml:space="preserve">PI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Industrialised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Americas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82335F" w14:textId="7EF23B6A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USA, Kanada</w:t>
            </w:r>
            <w:r w:rsidR="00A85268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, Chile, Uruguay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4F9A4C5" w14:textId="77777777"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1832EA91" w14:textId="77777777" w:rsidR="00F54C76" w:rsidRP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48</w:t>
            </w:r>
          </w:p>
        </w:tc>
      </w:tr>
      <w:tr w:rsidR="00F54C76" w:rsidRPr="00DC0ABE" w14:paraId="0B550B62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ACA26F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PI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Asia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industrialised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Australia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, New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Zealand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E044C8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Ausztrália, Brunei, Hong Kong, Japán, Koreai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Köztrásaság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Macao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, Új-Zéland, Szingapúr, Tajvan 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4BB78EF" w14:textId="265F3705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4E4E4"/>
          </w:tcPr>
          <w:p w14:paraId="171B3F38" w14:textId="2DCE8632" w:rsidR="00F54C76" w:rsidRPr="00F54C76" w:rsidRDefault="00033AE4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35</w:t>
            </w:r>
          </w:p>
        </w:tc>
      </w:tr>
      <w:tr w:rsidR="00F54C76" w:rsidRPr="00DC0ABE" w14:paraId="3AEE08E4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A25F61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EDF</w:t>
            </w:r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31EF97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ACP/AKCS országok (Afrika, karibi és csendes-óceáni térség):</w:t>
            </w:r>
          </w:p>
          <w:p w14:paraId="5EC16E83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proofErr w:type="gram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Angola, Antigua és Barbuda,  Zöld-foki Köztársaság, Comore-szigetek, Bahama-szigetek, Barbados, Belize, Benin, Botswana, Burkina Faso, Burundi, Kamerun, Közép-afrikai Köztársaság, Csád, Kongói Köztársaság, Kongói Demokratikus Köztársaság, Cook-szigetek, Elefántcsontpart, Dzsibuti, Dominika, Dominikai Köztársaság, Eritrea, Etiópia, Fidzsi, Gabon, Gambia, Ghána, Grenada, Guineai Köztársaság, Bissau-Guinea, Egyenlítői-Guinea, Guyana, Haiti, Jamaica, Kenya, Kiribati, Lesotho, Libéria, Madagaszkár, Malawi, Mali, Marshall-szigetek, Mauritánia, Mauritius, Mikronézia, Mozambik, Namíbia, Nauru, Niger,</w:t>
            </w:r>
            <w:proofErr w:type="gram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Nigéria,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Niue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, Palau, Pápua Új-Guinea, Ruanda, SaintKitts és Nevis, Saint Lucia, Saint Vincent és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Grenadine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-szigetek, Salamon-szigetek, Szamoa,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Săo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Tomé és Príncipe, Szenegál, Seychelle-szigetek, Sierra Leone, Szomália, Szudán17, Dél-Szudán, Suriname, Szváziföld, Tanzánia, Kelet-Timor, Togo, Tonga, Trinidad és Tobago, Tuvalu, Uganda, Vanuatu, Zambia, Zimbabwe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B97EB1" w14:textId="66FEFBA9" w:rsidR="00F54C76" w:rsidRP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103E23BF" w14:textId="5F0977E1" w:rsidR="00F54C76" w:rsidRPr="00F54C76" w:rsidRDefault="00033AE4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81</w:t>
            </w:r>
          </w:p>
        </w:tc>
      </w:tr>
      <w:tr w:rsidR="00F54C76" w:rsidRPr="00DC0ABE" w14:paraId="5F00DCB0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D7D6A3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Tunisia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Window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5213D0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Tunézia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CF0248" w14:textId="0948EBC0" w:rsid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0E975768" w14:textId="77777777" w:rsidR="00F54C76" w:rsidRDefault="00F54C76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8</w:t>
            </w:r>
          </w:p>
        </w:tc>
      </w:tr>
      <w:tr w:rsidR="00F54C76" w:rsidRPr="00DC0ABE" w14:paraId="4F53588E" w14:textId="77777777" w:rsidTr="00F54C76">
        <w:tc>
          <w:tcPr>
            <w:tcW w:w="109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1F36B6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West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Africa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Trust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Fund</w:t>
            </w:r>
            <w:proofErr w:type="spellEnd"/>
          </w:p>
        </w:tc>
        <w:tc>
          <w:tcPr>
            <w:tcW w:w="2671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82B7BD" w14:textId="77777777" w:rsidR="00F54C76" w:rsidRPr="00DC0ABE" w:rsidRDefault="00F54C76" w:rsidP="00D8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</w:pPr>
            <w:r w:rsidRPr="00F54C76">
              <w:rPr>
                <w:rFonts w:ascii="Times New Roman" w:eastAsia="Times New Roman" w:hAnsi="Times New Roman" w:cs="Times New Roman"/>
                <w:color w:val="333333"/>
                <w:sz w:val="18"/>
                <w:szCs w:val="21"/>
                <w:lang w:eastAsia="hu-HU"/>
              </w:rPr>
              <w:t>Burkina Faso, Csád, Elefántcsontpart, Gambia, Ghána, Guinea, Kamerun, Mali, Mauritánia, Niger, Nigéria, Szenegál</w:t>
            </w:r>
          </w:p>
        </w:tc>
        <w:tc>
          <w:tcPr>
            <w:tcW w:w="632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0CF9C69" w14:textId="4D88E5A3" w:rsidR="00F54C76" w:rsidRDefault="001823D1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4%</w:t>
            </w:r>
          </w:p>
        </w:tc>
        <w:tc>
          <w:tcPr>
            <w:tcW w:w="605" w:type="pc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EEEEE"/>
          </w:tcPr>
          <w:p w14:paraId="47B03E50" w14:textId="17DE8398" w:rsidR="00F54C76" w:rsidRDefault="00033AE4" w:rsidP="00F5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hu-HU"/>
              </w:rPr>
              <w:t>27</w:t>
            </w:r>
          </w:p>
        </w:tc>
      </w:tr>
    </w:tbl>
    <w:p w14:paraId="4B792317" w14:textId="77777777" w:rsidR="00D80037" w:rsidRPr="00DC0ABE" w:rsidRDefault="00D80037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1440B97" w14:textId="74C382F3" w:rsidR="00BF6F29" w:rsidRPr="00210542" w:rsidRDefault="00CC3721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Ha a </w:t>
      </w:r>
      <w:r w:rsidR="00210542">
        <w:rPr>
          <w:color w:val="333333"/>
        </w:rPr>
        <w:t>2019-es</w:t>
      </w:r>
      <w:r w:rsidR="00C71423" w:rsidRPr="00DC0ABE">
        <w:rPr>
          <w:color w:val="333333"/>
        </w:rPr>
        <w:t xml:space="preserve"> pályázat rendelkezésre álló adatait nézzük, fontos kiemelni, hogy az EU továbbra is nagy hangsúlyt fektet a legkevésbé fejlett országok támogatására. </w:t>
      </w:r>
      <w:r w:rsidR="00C71423" w:rsidRPr="00210542">
        <w:rPr>
          <w:color w:val="333333"/>
        </w:rPr>
        <w:t xml:space="preserve">Ehhez kötődően például a </w:t>
      </w:r>
      <w:r w:rsidR="0034096A" w:rsidRPr="00210542">
        <w:rPr>
          <w:color w:val="333333"/>
        </w:rPr>
        <w:t>latin-a</w:t>
      </w:r>
      <w:r w:rsidR="00C71423" w:rsidRPr="00210542">
        <w:rPr>
          <w:color w:val="333333"/>
        </w:rPr>
        <w:t>mer</w:t>
      </w:r>
      <w:r w:rsidR="0034096A" w:rsidRPr="00210542">
        <w:rPr>
          <w:color w:val="333333"/>
        </w:rPr>
        <w:t>ikai és á</w:t>
      </w:r>
      <w:r w:rsidR="00F1611B" w:rsidRPr="00210542">
        <w:rPr>
          <w:color w:val="333333"/>
        </w:rPr>
        <w:t xml:space="preserve">zsiai térségben </w:t>
      </w:r>
      <w:r w:rsidR="00210542" w:rsidRPr="00210542">
        <w:rPr>
          <w:color w:val="333333"/>
        </w:rPr>
        <w:t>20</w:t>
      </w:r>
      <w:r w:rsidR="00210542" w:rsidRPr="00BA22AE">
        <w:rPr>
          <w:color w:val="333333"/>
        </w:rPr>
        <w:t>21</w:t>
      </w:r>
      <w:r w:rsidR="00F1611B" w:rsidRPr="00210542">
        <w:rPr>
          <w:color w:val="333333"/>
        </w:rPr>
        <w:t>-ig bezárólag a források 25%-a kell</w:t>
      </w:r>
      <w:r w:rsidR="00350F9A" w:rsidRPr="00210542">
        <w:rPr>
          <w:color w:val="333333"/>
        </w:rPr>
        <w:t>,</w:t>
      </w:r>
      <w:r w:rsidR="00F1611B" w:rsidRPr="00210542">
        <w:rPr>
          <w:color w:val="333333"/>
        </w:rPr>
        <w:t xml:space="preserve"> hogy fordítódjon a következő országokra:</w:t>
      </w:r>
    </w:p>
    <w:p w14:paraId="2A7D585A" w14:textId="77777777" w:rsidR="00F1611B" w:rsidRPr="00210542" w:rsidRDefault="00F1611B" w:rsidP="00D80037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10542">
        <w:rPr>
          <w:color w:val="333333"/>
        </w:rPr>
        <w:t xml:space="preserve">Ázsia: </w:t>
      </w:r>
      <w:r w:rsidR="00D467A5" w:rsidRPr="00210542">
        <w:rPr>
          <w:color w:val="333333"/>
        </w:rPr>
        <w:t>Afganisztán, Banglades, Kambodzsa, Laosz, Nepál, Bután és Mianmar</w:t>
      </w:r>
    </w:p>
    <w:p w14:paraId="25B34CE4" w14:textId="77777777" w:rsidR="00E72230" w:rsidRPr="00210542" w:rsidRDefault="00D467A5" w:rsidP="00D80037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10542">
        <w:rPr>
          <w:color w:val="333333"/>
        </w:rPr>
        <w:t>Latin-Amerika: Bolívia, El Salvador,</w:t>
      </w:r>
      <w:r w:rsidR="0090115B" w:rsidRPr="00210542">
        <w:rPr>
          <w:color w:val="333333"/>
        </w:rPr>
        <w:t xml:space="preserve"> Guatemala, Honduras és Nicaragua</w:t>
      </w:r>
    </w:p>
    <w:p w14:paraId="6A997DC9" w14:textId="77777777" w:rsidR="00350F9A" w:rsidRPr="00DC0ABE" w:rsidRDefault="00350F9A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0ABE">
        <w:rPr>
          <w:color w:val="333333"/>
        </w:rPr>
        <w:t>Épp ezért azok a pályázatok, melyek ezekkel az országokkal megvalósítandó együttműködésre pályáznak, előnyben részesülnek.</w:t>
      </w:r>
    </w:p>
    <w:p w14:paraId="1D7B7DFF" w14:textId="77777777" w:rsidR="00BF6F29" w:rsidRPr="00DC0ABE" w:rsidRDefault="00BF6F29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0ABE">
        <w:rPr>
          <w:color w:val="333333"/>
        </w:rPr>
        <w:t>Mindehhez érdemes hozzátenni a mobilitások költségeit is, melyekkel a következőképp lehet számolni – ez segít annak meghatározásában, hogy reálisan hány mobilitással érdemes pályázni:</w:t>
      </w:r>
    </w:p>
    <w:p w14:paraId="259D6612" w14:textId="77777777" w:rsidR="00BF6F29" w:rsidRPr="00DC0ABE" w:rsidRDefault="00DC0ABE" w:rsidP="00D8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hu-HU"/>
        </w:rPr>
        <w:t>3.</w:t>
      </w:r>
      <w:r w:rsidR="00BF6F29" w:rsidRPr="00DC0AB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hu-HU"/>
        </w:rPr>
        <w:t xml:space="preserve"> Egyéni ösztöndíj magyarországi pályázat esetén</w:t>
      </w:r>
    </w:p>
    <w:p w14:paraId="2261907D" w14:textId="77777777" w:rsidR="00BF6F29" w:rsidRPr="00DC0ABE" w:rsidRDefault="00BF6F29" w:rsidP="00D8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be</w:t>
      </w:r>
      <w:r w:rsidR="00CC372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utazó hallgatóknak egységesen 80</w:t>
      </w:r>
      <w:r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0 euró/hó ösztöndíjat fizet a program</w:t>
      </w:r>
      <w:r w:rsidR="00CC372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míg a kiutazóknak egységesen 700</w:t>
      </w:r>
      <w:r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euró/hó ösztöndíj adható. Beutazó oktatóknak 140</w:t>
      </w:r>
      <w:r w:rsidR="00CC372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euró/nap, kiutazó oktatóknak 18</w:t>
      </w:r>
      <w:r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0 euró/nap megélhetési átalányösszeg adható.</w:t>
      </w:r>
    </w:p>
    <w:p w14:paraId="13F0DDFC" w14:textId="77777777" w:rsidR="00BF6F29" w:rsidRPr="00DC0ABE" w:rsidRDefault="00DC0ABE" w:rsidP="00D8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hu-HU"/>
        </w:rPr>
        <w:t>4.</w:t>
      </w:r>
      <w:r w:rsidR="00BF6F29" w:rsidRPr="00DC0AB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hu-HU"/>
        </w:rPr>
        <w:t xml:space="preserve"> Utazási átalány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hu-HU"/>
        </w:rPr>
        <w:t xml:space="preserve"> támogatás</w:t>
      </w:r>
    </w:p>
    <w:p w14:paraId="1A80C678" w14:textId="77777777" w:rsidR="00BF6F29" w:rsidRPr="00DC0ABE" w:rsidRDefault="00BF6F29" w:rsidP="00D8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Ezen felül minden kiutazó és beutazó utazási átalányösszeget kap a földrajzi távolság függvényében, az alábbiak szerint.</w:t>
      </w:r>
    </w:p>
    <w:p w14:paraId="594AACBA" w14:textId="77777777" w:rsidR="00BF6F29" w:rsidRPr="00DC0ABE" w:rsidRDefault="00CB222F" w:rsidP="00DC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10 és 99 KM: 20 EUR/fő | </w:t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100 és 499 KM: 180 EUR/fő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sym w:font="Symbol" w:char="F0BD"/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500 és 1999 KM: 275 EUR/fő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sym w:font="Symbol" w:char="F0BD"/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2000 és 2999 KM: 360 EUR/fő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sym w:font="Symbol" w:char="F0BD"/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3000 és 3999 KM: 530 EUR/fő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sym w:font="Symbol" w:char="F0BD"/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4000 és 7999 KM: 820 EUR/fő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sym w:font="Symbol" w:char="F0BD"/>
      </w:r>
      <w:r w:rsidR="00DC0ABE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90115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8000 KM és felette: 15</w:t>
      </w:r>
      <w:r w:rsidR="00BF6F29" w:rsidRPr="00DC0A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00 EUR/fő</w:t>
      </w:r>
    </w:p>
    <w:p w14:paraId="20D1522F" w14:textId="77777777" w:rsidR="00D80037" w:rsidRDefault="00DC0ABE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C0ABE">
        <w:rPr>
          <w:b/>
          <w:color w:val="333333"/>
        </w:rPr>
        <w:t>!</w:t>
      </w:r>
      <w:r w:rsidR="00BF6F29" w:rsidRPr="00DC0ABE">
        <w:rPr>
          <w:b/>
          <w:color w:val="333333"/>
        </w:rPr>
        <w:t xml:space="preserve">További fontos információ, hogy a táblázatban látható DCI és EDF országokba elsősorban csak PHD hallgatóknak és oktatóknak van lehetősége utazni, melyet szintén érdemes figyelembe venni a szakmai anyagok összeállításakor. </w:t>
      </w:r>
    </w:p>
    <w:p w14:paraId="194A9D28" w14:textId="77777777" w:rsidR="00BF6F29" w:rsidRPr="00DC0ABE" w:rsidRDefault="00BF6F29" w:rsidP="00D80037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C0ABE">
        <w:rPr>
          <w:b/>
          <w:color w:val="FF0000"/>
        </w:rPr>
        <w:t>A szakmai anyagok tartalmi követelményei:</w:t>
      </w:r>
    </w:p>
    <w:p w14:paraId="5E7BD754" w14:textId="77777777" w:rsidR="00DC0ABE" w:rsidRPr="001832F1" w:rsidRDefault="00CA03FD" w:rsidP="001832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DC0ABE">
        <w:rPr>
          <w:rFonts w:ascii="Times New Roman" w:hAnsi="Times New Roman" w:cs="Times New Roman"/>
          <w:b/>
          <w:color w:val="FF0000"/>
        </w:rPr>
        <w:t xml:space="preserve">A szakmai anyagok tartalmi követelményeit az </w:t>
      </w:r>
      <w:r w:rsidRPr="00DC0ABE">
        <w:rPr>
          <w:rFonts w:ascii="Times New Roman" w:hAnsi="Times New Roman" w:cs="Times New Roman"/>
          <w:b/>
          <w:i/>
          <w:color w:val="FF0000"/>
        </w:rPr>
        <w:t xml:space="preserve">„Útmutató a kari/intézeti/tanszéki szakmai anyagok összeállításához” </w:t>
      </w:r>
      <w:r w:rsidRPr="00DC0ABE">
        <w:rPr>
          <w:rFonts w:ascii="Times New Roman" w:hAnsi="Times New Roman" w:cs="Times New Roman"/>
          <w:b/>
          <w:color w:val="FF0000"/>
        </w:rPr>
        <w:t xml:space="preserve">címet viselő dokumentum tartalmazza. </w:t>
      </w:r>
    </w:p>
    <w:p w14:paraId="50009C83" w14:textId="77777777" w:rsidR="00CA03FD" w:rsidRPr="00DC0ABE" w:rsidRDefault="00CA03FD" w:rsidP="00D80037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C0ABE">
        <w:rPr>
          <w:b/>
          <w:color w:val="FF0000"/>
        </w:rPr>
        <w:t>A szakmai anyagok értékelésének szempontjai</w:t>
      </w:r>
      <w:r w:rsidR="00DC6A28" w:rsidRPr="00DC0ABE">
        <w:rPr>
          <w:b/>
          <w:color w:val="FF0000"/>
        </w:rPr>
        <w:t xml:space="preserve"> (az intézményi pályázat összeállításához, az Európai Bizottság által közzétett kritériumok alapján).</w:t>
      </w:r>
    </w:p>
    <w:p w14:paraId="4281361D" w14:textId="77777777" w:rsidR="00E14661" w:rsidRPr="00DC0ABE" w:rsidRDefault="00CA03FD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C0ABE">
        <w:rPr>
          <w:b/>
          <w:color w:val="333333"/>
        </w:rPr>
        <w:lastRenderedPageBreak/>
        <w:t>Fontos, hogy az elkészülő</w:t>
      </w:r>
      <w:r w:rsidR="00644384" w:rsidRPr="00DC0ABE">
        <w:rPr>
          <w:b/>
          <w:color w:val="333333"/>
        </w:rPr>
        <w:t xml:space="preserve"> szakmai anyagok</w:t>
      </w:r>
      <w:r w:rsidRPr="00DC0ABE">
        <w:rPr>
          <w:b/>
          <w:color w:val="333333"/>
        </w:rPr>
        <w:t xml:space="preserve"> igazodjanak a központi értékelési kritériumokhoz is, így a részanyagok minősége a következő szempontoknak való megfelelés alapján kerül </w:t>
      </w:r>
      <w:r w:rsidR="00DC6A28" w:rsidRPr="00DC0ABE">
        <w:rPr>
          <w:b/>
          <w:color w:val="333333"/>
        </w:rPr>
        <w:t>majd be az Intézményi Főpályázatba:</w:t>
      </w:r>
    </w:p>
    <w:p w14:paraId="7205DF48" w14:textId="77777777" w:rsidR="00FC1246" w:rsidRPr="00167522" w:rsidRDefault="00CA03FD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167522">
        <w:rPr>
          <w:color w:val="333333"/>
        </w:rPr>
        <w:t xml:space="preserve">Figyelembe veszi-e a költségvetési kereteket és </w:t>
      </w:r>
      <w:r w:rsidR="001832F1">
        <w:rPr>
          <w:color w:val="333333"/>
        </w:rPr>
        <w:t>program</w:t>
      </w:r>
      <w:r w:rsidRPr="00167522">
        <w:rPr>
          <w:color w:val="333333"/>
        </w:rPr>
        <w:t>szabályokat, igazodik-e azokhoz?</w:t>
      </w:r>
    </w:p>
    <w:p w14:paraId="6653CACF" w14:textId="77777777" w:rsidR="00CA03FD" w:rsidRPr="00167522" w:rsidRDefault="00FC1246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167522">
        <w:rPr>
          <w:color w:val="333333"/>
        </w:rPr>
        <w:t>Pontosan mutatja-e be a pályázott együttműködés múltját, jövőjét és szakmai indokoltságát?</w:t>
      </w:r>
    </w:p>
    <w:p w14:paraId="37985891" w14:textId="77777777" w:rsidR="00FC1246" w:rsidRPr="00167522" w:rsidRDefault="00FC1246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167522">
        <w:rPr>
          <w:color w:val="333333"/>
        </w:rPr>
        <w:t>Kitér-e az együttműködés várható hatásaira személyi, intézményi, helyi és nemzetközi szinten is?</w:t>
      </w:r>
    </w:p>
    <w:p w14:paraId="6A8A85B2" w14:textId="77777777" w:rsidR="00FC1246" w:rsidRPr="00167522" w:rsidRDefault="00FC1246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167522">
        <w:rPr>
          <w:color w:val="333333"/>
        </w:rPr>
        <w:t>Részletesen és pontosan indokolja-e a megpályázott mobilitási irányok (kimenő, bejövő) és szintek (BA, MA, PHD, oktató), valamint számok szükségességét?</w:t>
      </w:r>
    </w:p>
    <w:p w14:paraId="5F37E164" w14:textId="77777777" w:rsidR="00FC1246" w:rsidRDefault="00FC1246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167522">
        <w:rPr>
          <w:color w:val="333333"/>
        </w:rPr>
        <w:t>Szól-e az átjárhatóság és a kölcsönös elismertetés biztosításának módjairól?</w:t>
      </w:r>
    </w:p>
    <w:p w14:paraId="7DCEB076" w14:textId="77777777" w:rsidR="001832F1" w:rsidRDefault="00E05DFF" w:rsidP="00D80037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>
        <w:rPr>
          <w:color w:val="333333"/>
        </w:rPr>
        <w:t>Biztosított-</w:t>
      </w:r>
      <w:r w:rsidR="001832F1">
        <w:rPr>
          <w:color w:val="333333"/>
        </w:rPr>
        <w:t>e a pályázat megvalósítása (megfelelő szervezési kapacitás, oktatók, hallgatók)? Mekkora a valószínűsége annak, hogy a pályázat nem valósul meg (kulturális félreértések, kapacitáshiány miatt)?</w:t>
      </w:r>
    </w:p>
    <w:p w14:paraId="7D5497B9" w14:textId="77777777" w:rsidR="001832F1" w:rsidRPr="00167522" w:rsidRDefault="001832F1" w:rsidP="001832F1">
      <w:pPr>
        <w:pStyle w:val="NormlWeb"/>
        <w:shd w:val="clear" w:color="auto" w:fill="FFFFFF"/>
        <w:spacing w:before="0" w:beforeAutospacing="0" w:after="0" w:afterAutospacing="0"/>
        <w:ind w:left="357"/>
        <w:jc w:val="both"/>
        <w:rPr>
          <w:color w:val="333333"/>
        </w:rPr>
      </w:pPr>
    </w:p>
    <w:p w14:paraId="314D93F6" w14:textId="77777777" w:rsidR="00E72230" w:rsidRDefault="001832F1" w:rsidP="00D80037">
      <w:pPr>
        <w:pStyle w:val="NormlWeb"/>
        <w:shd w:val="clear" w:color="auto" w:fill="FFFFFF"/>
        <w:spacing w:before="0" w:beforeAutospacing="0" w:after="0" w:afterAutospacing="0"/>
        <w:ind w:left="357"/>
        <w:jc w:val="both"/>
        <w:rPr>
          <w:b/>
          <w:color w:val="333333"/>
        </w:rPr>
      </w:pPr>
      <w:r>
        <w:rPr>
          <w:b/>
          <w:color w:val="333333"/>
        </w:rPr>
        <w:t>6</w:t>
      </w:r>
      <w:r w:rsidR="00E72230" w:rsidRPr="00DC0ABE">
        <w:rPr>
          <w:b/>
          <w:color w:val="333333"/>
        </w:rPr>
        <w:t xml:space="preserve">+1. Azok a pályázatok, melyek a fentebb felsorolt, legkevésbé fejlett országokkal megvalósítandó együttműködésre pályáznak, </w:t>
      </w:r>
      <w:r w:rsidR="00167522">
        <w:rPr>
          <w:b/>
          <w:color w:val="333333"/>
        </w:rPr>
        <w:t>illetve</w:t>
      </w:r>
      <w:r w:rsidR="00167522" w:rsidRPr="00167522">
        <w:t xml:space="preserve"> </w:t>
      </w:r>
      <w:r w:rsidR="00167522">
        <w:rPr>
          <w:b/>
          <w:color w:val="333333"/>
        </w:rPr>
        <w:t>az</w:t>
      </w:r>
      <w:r w:rsidR="00167522" w:rsidRPr="00167522">
        <w:rPr>
          <w:b/>
          <w:color w:val="333333"/>
        </w:rPr>
        <w:t xml:space="preserve"> ENI South-</w:t>
      </w:r>
      <w:proofErr w:type="spellStart"/>
      <w:r w:rsidR="00167522" w:rsidRPr="00167522">
        <w:rPr>
          <w:b/>
          <w:color w:val="333333"/>
        </w:rPr>
        <w:t>Mediterr</w:t>
      </w:r>
      <w:r w:rsidR="00167522">
        <w:rPr>
          <w:b/>
          <w:color w:val="333333"/>
        </w:rPr>
        <w:t>anean</w:t>
      </w:r>
      <w:proofErr w:type="spellEnd"/>
      <w:r w:rsidR="00167522">
        <w:rPr>
          <w:b/>
          <w:color w:val="333333"/>
        </w:rPr>
        <w:t xml:space="preserve">, ENI </w:t>
      </w:r>
      <w:proofErr w:type="spellStart"/>
      <w:r w:rsidR="00167522">
        <w:rPr>
          <w:b/>
          <w:color w:val="333333"/>
        </w:rPr>
        <w:t>Eastern</w:t>
      </w:r>
      <w:proofErr w:type="spellEnd"/>
      <w:r w:rsidR="00167522">
        <w:rPr>
          <w:b/>
          <w:color w:val="333333"/>
        </w:rPr>
        <w:t xml:space="preserve"> </w:t>
      </w:r>
      <w:proofErr w:type="spellStart"/>
      <w:r w:rsidR="00167522">
        <w:rPr>
          <w:b/>
          <w:color w:val="333333"/>
        </w:rPr>
        <w:t>Partnership</w:t>
      </w:r>
      <w:proofErr w:type="spellEnd"/>
      <w:r w:rsidR="00167522">
        <w:rPr>
          <w:b/>
          <w:color w:val="333333"/>
        </w:rPr>
        <w:t xml:space="preserve"> </w:t>
      </w:r>
      <w:r w:rsidR="00C4471B">
        <w:rPr>
          <w:b/>
          <w:color w:val="333333"/>
        </w:rPr>
        <w:t>és az IPA Western B</w:t>
      </w:r>
      <w:r w:rsidR="00167522" w:rsidRPr="00167522">
        <w:rPr>
          <w:b/>
          <w:color w:val="333333"/>
        </w:rPr>
        <w:t xml:space="preserve">alkan területeken </w:t>
      </w:r>
      <w:r w:rsidR="00167522">
        <w:rPr>
          <w:b/>
          <w:color w:val="333333"/>
        </w:rPr>
        <w:t xml:space="preserve">kerülnek beadásra </w:t>
      </w:r>
      <w:r w:rsidR="00E72230" w:rsidRPr="00DC0ABE">
        <w:rPr>
          <w:b/>
          <w:color w:val="333333"/>
        </w:rPr>
        <w:t>előnyben részesülnek.</w:t>
      </w:r>
    </w:p>
    <w:p w14:paraId="083212AC" w14:textId="77777777" w:rsidR="00167522" w:rsidRDefault="00167522" w:rsidP="00D80037">
      <w:pPr>
        <w:pStyle w:val="NormlWeb"/>
        <w:shd w:val="clear" w:color="auto" w:fill="FFFFFF"/>
        <w:spacing w:before="0" w:beforeAutospacing="0" w:after="0" w:afterAutospacing="0"/>
        <w:ind w:left="357"/>
        <w:jc w:val="both"/>
        <w:rPr>
          <w:b/>
          <w:color w:val="333333"/>
        </w:rPr>
      </w:pPr>
    </w:p>
    <w:p w14:paraId="0402FCD9" w14:textId="01E44CDE" w:rsidR="00167522" w:rsidRPr="00DC0ABE" w:rsidRDefault="000106A3" w:rsidP="00D80037">
      <w:pPr>
        <w:pStyle w:val="NormlWeb"/>
        <w:shd w:val="clear" w:color="auto" w:fill="FFFFFF"/>
        <w:spacing w:before="0" w:beforeAutospacing="0" w:after="0" w:afterAutospacing="0"/>
        <w:ind w:left="357"/>
        <w:jc w:val="both"/>
        <w:rPr>
          <w:b/>
          <w:color w:val="333333"/>
        </w:rPr>
      </w:pPr>
      <w:r>
        <w:rPr>
          <w:b/>
          <w:color w:val="333333"/>
        </w:rPr>
        <w:t>+</w:t>
      </w:r>
      <w:r w:rsidR="0090115B">
        <w:rPr>
          <w:b/>
          <w:color w:val="333333"/>
        </w:rPr>
        <w:t xml:space="preserve">A </w:t>
      </w:r>
      <w:r w:rsidR="00C2100D">
        <w:rPr>
          <w:b/>
          <w:color w:val="333333"/>
        </w:rPr>
        <w:t>2020-as</w:t>
      </w:r>
      <w:r w:rsidR="00167522">
        <w:rPr>
          <w:b/>
          <w:color w:val="333333"/>
        </w:rPr>
        <w:t xml:space="preserve"> pályázatban a korábban leadott pályázási tapasztalatoknak megfelelően az idei cél, hogy az ELTE maximum 20 partnerországgal nyújtson be pályázatot, országonként 1 partnerintézménnyel</w:t>
      </w:r>
      <w:r>
        <w:rPr>
          <w:b/>
          <w:color w:val="333333"/>
        </w:rPr>
        <w:t>.</w:t>
      </w:r>
      <w:r w:rsidR="001832F1">
        <w:rPr>
          <w:b/>
          <w:color w:val="333333"/>
        </w:rPr>
        <w:t xml:space="preserve"> Az európai átlag szerint 1 intézmény 4-5 partnerországgal alakít ki és tart fenn Erasmus+ ICM partnerségi kapcsolatot.</w:t>
      </w:r>
    </w:p>
    <w:p w14:paraId="01AAB254" w14:textId="77777777" w:rsidR="00DC0ABE" w:rsidRPr="00DC0ABE" w:rsidRDefault="00DC0ABE" w:rsidP="00D80037">
      <w:pPr>
        <w:pStyle w:val="NormlWeb"/>
        <w:shd w:val="clear" w:color="auto" w:fill="FFFFFF"/>
        <w:spacing w:before="0" w:beforeAutospacing="0" w:after="0" w:afterAutospacing="0"/>
        <w:ind w:left="357"/>
        <w:jc w:val="both"/>
        <w:rPr>
          <w:b/>
          <w:color w:val="333333"/>
        </w:rPr>
      </w:pPr>
    </w:p>
    <w:p w14:paraId="0C87FB6A" w14:textId="77777777" w:rsidR="001832F1" w:rsidRDefault="000106A3" w:rsidP="001832F1">
      <w:pPr>
        <w:pStyle w:val="NormlWeb"/>
        <w:shd w:val="clear" w:color="auto" w:fill="D9D9D9" w:themeFill="background1" w:themeFillShade="D9"/>
        <w:spacing w:before="0" w:beforeAutospacing="0" w:after="0" w:afterAutospacing="0"/>
        <w:ind w:left="357"/>
        <w:jc w:val="both"/>
        <w:rPr>
          <w:b/>
          <w:color w:val="FF0000"/>
        </w:rPr>
      </w:pPr>
      <w:r>
        <w:rPr>
          <w:b/>
          <w:color w:val="FF0000"/>
        </w:rPr>
        <w:t>++</w:t>
      </w:r>
      <w:r w:rsidR="00DC0ABE" w:rsidRPr="00DC0ABE">
        <w:rPr>
          <w:b/>
          <w:color w:val="FF0000"/>
        </w:rPr>
        <w:t>Mindezek mellett</w:t>
      </w:r>
      <w:r>
        <w:rPr>
          <w:b/>
          <w:color w:val="FF0000"/>
        </w:rPr>
        <w:t xml:space="preserve"> kiemelten</w:t>
      </w:r>
      <w:r w:rsidR="00DC0ABE" w:rsidRPr="00DC0ABE">
        <w:rPr>
          <w:b/>
          <w:color w:val="FF0000"/>
        </w:rPr>
        <w:t xml:space="preserve"> fontos, hogy </w:t>
      </w:r>
    </w:p>
    <w:p w14:paraId="57C4BC25" w14:textId="77777777" w:rsidR="001832F1" w:rsidRDefault="00DC0ABE" w:rsidP="001832F1">
      <w:pPr>
        <w:pStyle w:val="NormlWeb"/>
        <w:numPr>
          <w:ilvl w:val="0"/>
          <w:numId w:val="11"/>
        </w:numPr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color w:val="FF0000"/>
        </w:rPr>
      </w:pPr>
      <w:r w:rsidRPr="00DC0ABE">
        <w:rPr>
          <w:b/>
          <w:color w:val="FF0000"/>
        </w:rPr>
        <w:t xml:space="preserve">a pályázati űrlap minden kérdésére válaszoljon a pályázó és partnere; </w:t>
      </w:r>
    </w:p>
    <w:p w14:paraId="3172AF79" w14:textId="77777777" w:rsidR="001832F1" w:rsidRDefault="00DC0ABE" w:rsidP="001832F1">
      <w:pPr>
        <w:pStyle w:val="NormlWeb"/>
        <w:numPr>
          <w:ilvl w:val="0"/>
          <w:numId w:val="11"/>
        </w:numPr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color w:val="FF0000"/>
        </w:rPr>
      </w:pPr>
      <w:r w:rsidRPr="00DC0ABE">
        <w:rPr>
          <w:b/>
          <w:color w:val="FF0000"/>
        </w:rPr>
        <w:t>válaszai konstruktív, részletes a főpályázatba esetlegesen változtatások nélkü</w:t>
      </w:r>
      <w:r w:rsidR="001832F1">
        <w:rPr>
          <w:b/>
          <w:color w:val="FF0000"/>
        </w:rPr>
        <w:t xml:space="preserve">l illeszthető szövegek legyenek, </w:t>
      </w:r>
    </w:p>
    <w:p w14:paraId="17C28FEC" w14:textId="77777777" w:rsidR="001832F1" w:rsidRDefault="001832F1" w:rsidP="001832F1">
      <w:pPr>
        <w:pStyle w:val="NormlWeb"/>
        <w:numPr>
          <w:ilvl w:val="0"/>
          <w:numId w:val="11"/>
        </w:numPr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a szakmai/felelős koordinátor (ELTE és partner) a pályázat benyújtásában aktívan segítse az ENPO munkatársait,</w:t>
      </w:r>
    </w:p>
    <w:p w14:paraId="1E1817D8" w14:textId="77777777" w:rsidR="00DC0ABE" w:rsidRPr="00DC0ABE" w:rsidRDefault="001832F1" w:rsidP="001832F1">
      <w:pPr>
        <w:pStyle w:val="NormlWeb"/>
        <w:numPr>
          <w:ilvl w:val="0"/>
          <w:numId w:val="11"/>
        </w:numPr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a megvalósítás során folyamatosan elérhető legyen mindegyik koordinátor, aktívan részt vegyen a projekt megvalósításában.</w:t>
      </w:r>
    </w:p>
    <w:p w14:paraId="1D577B68" w14:textId="77777777" w:rsidR="00114949" w:rsidRPr="00DC0ABE" w:rsidRDefault="00114949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</w:rPr>
      </w:pPr>
    </w:p>
    <w:p w14:paraId="402618A0" w14:textId="77777777" w:rsidR="00114949" w:rsidRPr="00DC0ABE" w:rsidRDefault="00114949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</w:p>
    <w:p w14:paraId="108B95C8" w14:textId="77777777" w:rsidR="002308E2" w:rsidRPr="00DC0ABE" w:rsidRDefault="002308E2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5FDE376" w14:textId="77777777" w:rsidR="00E14661" w:rsidRPr="00DC0ABE" w:rsidRDefault="00E14661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80BFC7D" w14:textId="77777777" w:rsidR="00E14661" w:rsidRPr="00DC0ABE" w:rsidRDefault="00E14661" w:rsidP="00D80037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4EE1F9FC" w14:textId="77777777" w:rsidR="004B5B97" w:rsidRPr="00DC0ABE" w:rsidRDefault="004B5B97" w:rsidP="00D8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5B97" w:rsidRPr="00DC0ABE" w:rsidSect="007B319E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E91"/>
    <w:multiLevelType w:val="hybridMultilevel"/>
    <w:tmpl w:val="B97678C8"/>
    <w:lvl w:ilvl="0" w:tplc="41F4A5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39BA"/>
    <w:multiLevelType w:val="hybridMultilevel"/>
    <w:tmpl w:val="47DAC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5E98"/>
    <w:multiLevelType w:val="hybridMultilevel"/>
    <w:tmpl w:val="7D3021C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046454"/>
    <w:multiLevelType w:val="hybridMultilevel"/>
    <w:tmpl w:val="54189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68F6"/>
    <w:multiLevelType w:val="hybridMultilevel"/>
    <w:tmpl w:val="A90E1E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723E"/>
    <w:multiLevelType w:val="hybridMultilevel"/>
    <w:tmpl w:val="6FC08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1FCF"/>
    <w:multiLevelType w:val="hybridMultilevel"/>
    <w:tmpl w:val="40906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E044C"/>
    <w:multiLevelType w:val="hybridMultilevel"/>
    <w:tmpl w:val="0596923A"/>
    <w:lvl w:ilvl="0" w:tplc="45068A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14D3A"/>
    <w:multiLevelType w:val="hybridMultilevel"/>
    <w:tmpl w:val="12FC97F0"/>
    <w:lvl w:ilvl="0" w:tplc="3F40CED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786D02"/>
    <w:multiLevelType w:val="hybridMultilevel"/>
    <w:tmpl w:val="B92E8EB0"/>
    <w:lvl w:ilvl="0" w:tplc="CC100C1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E3FFC"/>
    <w:multiLevelType w:val="hybridMultilevel"/>
    <w:tmpl w:val="93BAD66C"/>
    <w:lvl w:ilvl="0" w:tplc="DC0AE8AC">
      <w:start w:val="1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0"/>
    <w:rsid w:val="000106A3"/>
    <w:rsid w:val="00033AE4"/>
    <w:rsid w:val="00046F80"/>
    <w:rsid w:val="000644BD"/>
    <w:rsid w:val="00090663"/>
    <w:rsid w:val="000E5A0C"/>
    <w:rsid w:val="00105354"/>
    <w:rsid w:val="00114949"/>
    <w:rsid w:val="00130D2F"/>
    <w:rsid w:val="00167522"/>
    <w:rsid w:val="001823D1"/>
    <w:rsid w:val="001832F1"/>
    <w:rsid w:val="00210542"/>
    <w:rsid w:val="002268A1"/>
    <w:rsid w:val="002308E2"/>
    <w:rsid w:val="00250BCF"/>
    <w:rsid w:val="002B26A8"/>
    <w:rsid w:val="003228D7"/>
    <w:rsid w:val="003234FE"/>
    <w:rsid w:val="0034096A"/>
    <w:rsid w:val="0034138F"/>
    <w:rsid w:val="00350F9A"/>
    <w:rsid w:val="003E6785"/>
    <w:rsid w:val="00417371"/>
    <w:rsid w:val="00452622"/>
    <w:rsid w:val="00461BD5"/>
    <w:rsid w:val="00473D32"/>
    <w:rsid w:val="00490EF0"/>
    <w:rsid w:val="004B5B97"/>
    <w:rsid w:val="004E35DC"/>
    <w:rsid w:val="005270AD"/>
    <w:rsid w:val="005443C3"/>
    <w:rsid w:val="00545F4C"/>
    <w:rsid w:val="00561F27"/>
    <w:rsid w:val="005B55D4"/>
    <w:rsid w:val="00644384"/>
    <w:rsid w:val="006630A1"/>
    <w:rsid w:val="00764B49"/>
    <w:rsid w:val="007B319E"/>
    <w:rsid w:val="0090115B"/>
    <w:rsid w:val="00920908"/>
    <w:rsid w:val="00991249"/>
    <w:rsid w:val="009C4080"/>
    <w:rsid w:val="00A627C0"/>
    <w:rsid w:val="00A63C6D"/>
    <w:rsid w:val="00A85268"/>
    <w:rsid w:val="00B16C76"/>
    <w:rsid w:val="00B35695"/>
    <w:rsid w:val="00B43E87"/>
    <w:rsid w:val="00BA22AE"/>
    <w:rsid w:val="00BF6F29"/>
    <w:rsid w:val="00C2100D"/>
    <w:rsid w:val="00C4471B"/>
    <w:rsid w:val="00C71423"/>
    <w:rsid w:val="00C96AA4"/>
    <w:rsid w:val="00CA03FD"/>
    <w:rsid w:val="00CB222F"/>
    <w:rsid w:val="00CC3721"/>
    <w:rsid w:val="00D33AB1"/>
    <w:rsid w:val="00D467A5"/>
    <w:rsid w:val="00D80037"/>
    <w:rsid w:val="00DC0ABE"/>
    <w:rsid w:val="00DC6A28"/>
    <w:rsid w:val="00E05DFF"/>
    <w:rsid w:val="00E14661"/>
    <w:rsid w:val="00E5073E"/>
    <w:rsid w:val="00E72230"/>
    <w:rsid w:val="00EB7B88"/>
    <w:rsid w:val="00F147D3"/>
    <w:rsid w:val="00F1611B"/>
    <w:rsid w:val="00F5013D"/>
    <w:rsid w:val="00F54C76"/>
    <w:rsid w:val="00FB6748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68F"/>
  <w15:docId w15:val="{49235513-92A4-4E8B-B716-86BE340F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33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B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4B5B97"/>
  </w:style>
  <w:style w:type="paragraph" w:styleId="NormlWeb">
    <w:name w:val="Normal (Web)"/>
    <w:basedOn w:val="Norml"/>
    <w:uiPriority w:val="99"/>
    <w:unhideWhenUsed/>
    <w:rsid w:val="004B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B5B97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D33AB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CA03F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494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4949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05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53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53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53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5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CF34-8C08-42C5-B1A3-6B6E0F85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1036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Szaniszló Nóra</dc:creator>
  <cp:lastModifiedBy>Kovács Erzsébet</cp:lastModifiedBy>
  <cp:revision>12</cp:revision>
  <cp:lastPrinted>2018-10-17T13:32:00Z</cp:lastPrinted>
  <dcterms:created xsi:type="dcterms:W3CDTF">2019-10-17T11:46:00Z</dcterms:created>
  <dcterms:modified xsi:type="dcterms:W3CDTF">2019-11-08T11:33:00Z</dcterms:modified>
</cp:coreProperties>
</file>